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!</w:t>
      </w:r>
      <w:r>
        <w:rPr/>
        <w:drawing>
          <wp:inline distT="0" distB="8890" distL="0" distR="0">
            <wp:extent cx="5701030" cy="12792710"/>
            <wp:effectExtent l="0" t="0" r="0" b="0"/>
            <wp:docPr id="1" name="Рисунок 1" descr="http://78.rospotrebnadzor.ru/image/image_gallery?uuid=b945795b-d8e4-4037-ae0c-e6939f7f15f8&amp;groupId=935484&amp;t=1547556220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78.rospotrebnadzor.ru/image/image_gallery?uuid=b945795b-d8e4-4037-ae0c-e6939f7f15f8&amp;groupId=935484&amp;t=154755622078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1279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Подробная и наглядная информация размещена на сайте Федеральной службы по надзору в сфере защиты прав потребителей и благополучия человека: </w:t>
      </w:r>
      <w:hyperlink r:id="rId3">
        <w:r>
          <w:rPr>
            <w:rStyle w:val="Style13"/>
          </w:rPr>
          <w:t>http://rospotrebnadzor.ru/about/info/news_time/news_details.php?ELEMENT_ID=11214</w:t>
        </w:r>
      </w:hyperlink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b/>
          <w:b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color w:val="1D1D1D"/>
          <w:sz w:val="21"/>
          <w:szCs w:val="21"/>
          <w:lang w:eastAsia="ru-RU"/>
        </w:rPr>
        <w:t>ПРОФИЛАКТИКА ГРИППА: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Ешьте как можно больше продуктов, содержащих витамин С (клюква, брусника, лимон и др.).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hd w:val="clear" w:color="auto" w:fill="F8F8F8"/>
        <w:spacing w:lineRule="auto" w:line="240" w:before="0" w:after="0"/>
        <w:ind w:right="-215" w:hanging="0"/>
        <w:jc w:val="both"/>
        <w:outlineLvl w:val="1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566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25741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25741f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5741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5741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574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rospotrebnadzor.ru/about/info/news_time/news_details.php?ELEMENT_ID=1121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LibreOffice/5.4.3.2$Windows_x86 LibreOffice_project/92a7159f7e4af62137622921e809f8546db437e5</Application>
  <Pages>2</Pages>
  <Words>169</Words>
  <Characters>1218</Characters>
  <CharactersWithSpaces>1372</CharactersWithSpaces>
  <Paragraphs>16</Paragraphs>
  <Company>CGKB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2019-02-12T06:37:00Z</dcterms:created>
  <dc:creator>333</dc:creator>
  <dc:description/>
  <dc:language>ru-RU</dc:language>
  <cp:lastModifiedBy/>
  <dcterms:modified xsi:type="dcterms:W3CDTF">2019-02-12T09:55:29Z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CGKB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